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t>+</w:t>
      </w:r>
      <w:r>
        <w:rPr/>
        <w:drawing>
          <wp:inline distT="0" distB="0" distL="0" distR="0">
            <wp:extent cx="1175385" cy="42926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606" t="14494" r="0" b="1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12"/>
          <w:szCs w:val="12"/>
        </w:rPr>
      </w:pPr>
      <w:bookmarkStart w:id="0" w:name="_Toc323988392"/>
      <w:bookmarkStart w:id="1" w:name="_Toc336885827"/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36"/>
          <w:szCs w:val="36"/>
        </w:rPr>
      </w:pPr>
      <w:r>
        <w:rPr>
          <w:rFonts w:cs="Arial"/>
          <w:b/>
          <w:bCs/>
          <w:iCs/>
          <w:spacing w:val="40"/>
          <w:sz w:val="36"/>
          <w:szCs w:val="36"/>
        </w:rPr>
        <w:t>ПРОТОКОЛ № 2/Р(2)</w:t>
      </w:r>
    </w:p>
    <w:p>
      <w:pPr>
        <w:pStyle w:val="Normal"/>
        <w:spacing w:lineRule="auto" w:line="240"/>
        <w:jc w:val="center"/>
        <w:rPr>
          <w:b/>
          <w:bCs/>
          <w:sz w:val="22"/>
          <w:szCs w:val="12"/>
        </w:rPr>
      </w:pPr>
      <w:r>
        <w:rPr>
          <w:b/>
          <w:bCs/>
          <w:sz w:val="22"/>
          <w:szCs w:val="28"/>
        </w:rPr>
        <w:t>З</w:t>
      </w:r>
      <w:r>
        <w:rPr>
          <w:b/>
          <w:bCs/>
          <w:szCs w:val="28"/>
        </w:rPr>
        <w:t xml:space="preserve">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rStyle w:val="Hyperlink"/>
          <w:rFonts w:eastAsia="Geneva"/>
          <w:b/>
          <w:bCs/>
          <w:color w:val="222222"/>
          <w:sz w:val="26"/>
          <w:szCs w:val="26"/>
          <w:u w:val="none"/>
          <w:lang w:eastAsia="en-US"/>
        </w:rPr>
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Партизанского МР, Шкотовского МР, Партизанского ГО, ГО Большой Камень и ГО ЗАТО Фокино Приморского края Приморского края (рамочный договор)  Лот № 189001-КС ПИР СМР-2025-ДРСК-ПЭС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апреля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5</w:t>
            </w:r>
          </w:p>
        </w:tc>
      </w:tr>
    </w:tbl>
    <w:p>
      <w:pPr>
        <w:pStyle w:val="Normal"/>
        <w:spacing w:lineRule="auto" w:line="240"/>
        <w:ind w:right="-1" w:hanging="0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</w:r>
    </w:p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6</w:t>
      </w:r>
      <w:r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шесть</w:t>
      </w:r>
      <w:r>
        <w:rPr>
          <w:b/>
          <w:sz w:val="22"/>
          <w:szCs w:val="24"/>
        </w:rPr>
        <w:t xml:space="preserve">) </w:t>
      </w:r>
      <w:r>
        <w:rPr>
          <w:b/>
          <w:bCs/>
          <w:sz w:val="22"/>
          <w:szCs w:val="24"/>
        </w:rPr>
        <w:t>заяв</w:t>
      </w:r>
      <w:r>
        <w:rPr>
          <w:b/>
          <w:bCs/>
          <w:sz w:val="22"/>
          <w:szCs w:val="24"/>
        </w:rPr>
        <w:t>ок</w:t>
      </w:r>
      <w:r>
        <w:rPr>
          <w:b/>
          <w:bCs/>
          <w:sz w:val="22"/>
          <w:szCs w:val="24"/>
        </w:rPr>
        <w:t>.</w:t>
      </w:r>
    </w:p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/>
      </w:r>
    </w:p>
    <w:tbl>
      <w:tblPr>
        <w:tblpPr w:bottomFromText="0" w:horzAnchor="margin" w:leftFromText="180" w:rightFromText="180" w:tblpX="0" w:tblpY="81" w:topFromText="0" w:vertAnchor="text"/>
        <w:tblW w:w="9684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3442"/>
        <w:gridCol w:w="5948"/>
      </w:tblGrid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Дата и время регистрации заявок</w:t>
            </w:r>
          </w:p>
        </w:tc>
        <w:tc>
          <w:tcPr>
            <w:tcW w:w="5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Идентификационный номер Участника.     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42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№366700</w:t>
            </w:r>
          </w:p>
        </w:tc>
        <w:tc>
          <w:tcPr>
            <w:tcW w:w="5948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07:54:54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№366790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10:21:37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№367164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04:30:50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№367173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05:50:09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№367182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06:55:10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№367229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08:53:07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0</w:t>
      </w:r>
      <w:r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ноль</w:t>
      </w:r>
      <w:r>
        <w:rPr>
          <w:b/>
          <w:sz w:val="22"/>
          <w:szCs w:val="24"/>
        </w:rPr>
        <w:t xml:space="preserve">) </w:t>
      </w:r>
      <w:r>
        <w:rPr>
          <w:sz w:val="22"/>
          <w:szCs w:val="24"/>
        </w:rPr>
        <w:t>зая</w:t>
      </w:r>
      <w:r>
        <w:rPr>
          <w:sz w:val="22"/>
          <w:szCs w:val="24"/>
        </w:rPr>
        <w:t>вок</w:t>
      </w:r>
      <w:r>
        <w:rPr>
          <w:sz w:val="22"/>
          <w:szCs w:val="24"/>
        </w:rPr>
        <w:t>.</w:t>
      </w:r>
    </w:p>
    <w:p>
      <w:pPr>
        <w:pStyle w:val="Normal"/>
        <w:spacing w:lineRule="auto" w:line="240"/>
        <w:ind w:hanging="142"/>
        <w:rPr>
          <w:b/>
          <w:caps/>
          <w:sz w:val="12"/>
          <w:szCs w:val="12"/>
        </w:rPr>
      </w:pPr>
      <w:r>
        <w:rPr>
          <w:b/>
          <w:caps/>
          <w:sz w:val="12"/>
          <w:szCs w:val="12"/>
        </w:rPr>
      </w:r>
    </w:p>
    <w:p>
      <w:pPr>
        <w:pStyle w:val="Normal"/>
        <w:spacing w:lineRule="auto" w:line="240"/>
        <w:ind w:hanging="142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7"/>
        </w:numPr>
        <w:ind w:left="0" w:firstLine="567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вторых частей (и ценовых предложений) заявок Участников.</w:t>
      </w:r>
    </w:p>
    <w:p>
      <w:pPr>
        <w:pStyle w:val="BodyTextIndent2"/>
        <w:numPr>
          <w:ilvl w:val="0"/>
          <w:numId w:val="8"/>
        </w:numPr>
        <w:ind w:left="0" w:firstLine="567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(и ценовых предложений).</w:t>
      </w:r>
    </w:p>
    <w:p>
      <w:pPr>
        <w:pStyle w:val="BodyTextIndent2"/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 О рассмотрении результатов оценки вторых частей заявок (и ценовых предложений) Участников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keepNext w:val="true"/>
        <w:numPr>
          <w:ilvl w:val="1"/>
          <w:numId w:val="9"/>
        </w:numPr>
        <w:tabs>
          <w:tab w:val="clear" w:pos="708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10"/>
        </w:numPr>
        <w:tabs>
          <w:tab w:val="clear" w:pos="708"/>
          <w:tab w:val="left" w:pos="426" w:leader="none"/>
        </w:tabs>
        <w:rPr>
          <w:sz w:val="26"/>
          <w:szCs w:val="26"/>
          <w:shd w:fill="FFFF99" w:val="clear"/>
        </w:rPr>
      </w:pPr>
      <w:r>
        <w:rPr>
          <w:sz w:val="26"/>
          <w:szCs w:val="26"/>
        </w:rPr>
        <w:t>Принять к рассмотрению вторые части заявок (и ценовые предложения) следующих участников:</w:t>
      </w:r>
    </w:p>
    <w:p>
      <w:pPr>
        <w:pStyle w:val="BodyTextIndent2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tbl>
      <w:tblPr>
        <w:tblpPr w:bottomFromText="0" w:horzAnchor="margin" w:leftFromText="180" w:rightFromText="180" w:tblpX="0" w:tblpY="81" w:topFromText="0" w:vertAnchor="text"/>
        <w:tblW w:w="9684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3442"/>
        <w:gridCol w:w="5948"/>
      </w:tblGrid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Дата и время регистрации заявок</w:t>
            </w:r>
          </w:p>
        </w:tc>
        <w:tc>
          <w:tcPr>
            <w:tcW w:w="5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Идентификационный номер Участника.     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42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№366700</w:t>
            </w:r>
          </w:p>
        </w:tc>
        <w:tc>
          <w:tcPr>
            <w:tcW w:w="5948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07:54:54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№366790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20.03.2025 10:21:37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№367164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04:30:50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№367173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05:50:09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№367182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06:55:10 MCK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Заявка №367229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8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 08:53:07 MCK</w:t>
            </w:r>
          </w:p>
        </w:tc>
      </w:tr>
    </w:tbl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(и ценовых предложений)</w:t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/>
      </w:r>
    </w:p>
    <w:p>
      <w:pPr>
        <w:pStyle w:val="Normal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Признать вторые части заявок (и ценовые предложения) следующих Участников:</w:t>
      </w:r>
      <w:r>
        <w:rPr>
          <w:b/>
          <w:bCs w:val="false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№</w:t>
      </w:r>
      <w:r>
        <w:rPr>
          <w:rFonts w:eastAsia="Times New Roman" w:cs="Times New Roman"/>
          <w:b/>
          <w:bCs/>
          <w:color w:val="auto"/>
          <w:kern w:val="0"/>
          <w:sz w:val="26"/>
          <w:szCs w:val="26"/>
          <w:lang w:val="ru-RU" w:eastAsia="ru-RU" w:bidi="ar-SA"/>
        </w:rPr>
        <w:t>366700</w:t>
      </w:r>
      <w:r>
        <w:rPr>
          <w:b/>
          <w:bCs/>
          <w:sz w:val="26"/>
          <w:szCs w:val="26"/>
        </w:rPr>
        <w:t xml:space="preserve">, </w:t>
      </w:r>
      <w:r>
        <w:rPr>
          <w:rFonts w:eastAsia="Times New Roman" w:cs="Times New Roman"/>
          <w:b/>
          <w:bCs/>
          <w:color w:val="auto"/>
          <w:kern w:val="0"/>
          <w:sz w:val="26"/>
          <w:szCs w:val="26"/>
          <w:lang w:val="ru-RU" w:eastAsia="ru-RU" w:bidi="ar-SA"/>
        </w:rPr>
        <w:t>№366790</w:t>
      </w:r>
      <w:r>
        <w:rPr>
          <w:b/>
          <w:bCs/>
          <w:sz w:val="26"/>
          <w:szCs w:val="26"/>
        </w:rPr>
        <w:t xml:space="preserve">, </w:t>
      </w:r>
      <w:r>
        <w:rPr>
          <w:rFonts w:eastAsia="Times New Roman" w:cs="Times New Roman"/>
          <w:b/>
          <w:bCs/>
          <w:color w:val="auto"/>
          <w:kern w:val="0"/>
          <w:sz w:val="26"/>
          <w:szCs w:val="26"/>
          <w:lang w:val="ru-RU" w:eastAsia="ru-RU" w:bidi="ar-SA"/>
        </w:rPr>
        <w:t>№367164</w:t>
      </w:r>
      <w:r>
        <w:rPr>
          <w:b/>
          <w:bCs/>
          <w:sz w:val="26"/>
          <w:szCs w:val="26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color w:val="auto"/>
          <w:kern w:val="0"/>
          <w:sz w:val="26"/>
          <w:szCs w:val="26"/>
          <w:lang w:val="ru-RU" w:eastAsia="ru-RU" w:bidi="ar-SA"/>
        </w:rPr>
        <w:t xml:space="preserve">№367173, №367182, №367229 </w:t>
      </w:r>
      <w:r>
        <w:rPr>
          <w:b w:val="false"/>
          <w:bCs w:val="false"/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</w:r>
      <w:bookmarkStart w:id="2" w:name="_GoBack"/>
      <w:bookmarkStart w:id="3" w:name="_GoBack"/>
      <w:bookmarkEnd w:id="3"/>
    </w:p>
    <w:tbl>
      <w:tblPr>
        <w:tblStyle w:val="af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38"/>
        <w:gridCol w:w="2410"/>
        <w:gridCol w:w="2841"/>
      </w:tblGrid>
      <w:tr>
        <w:trPr>
          <w:trHeight w:val="539" w:hRule="atLeast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О.В.Цыганчук</w:t>
            </w:r>
          </w:p>
        </w:tc>
      </w:tr>
    </w:tbl>
    <w:p>
      <w:pPr>
        <w:pStyle w:val="BodyText"/>
        <w:jc w:val="both"/>
        <w:rPr>
          <w:sz w:val="18"/>
        </w:rPr>
      </w:pPr>
      <w:r>
        <w:rPr>
          <w:sz w:val="18"/>
        </w:rPr>
      </w:r>
    </w:p>
    <w:p>
      <w:pPr>
        <w:pStyle w:val="BodyText"/>
        <w:jc w:val="both"/>
        <w:rPr>
          <w:sz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1017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641047249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Протокол рассмотрения 2 части заявок закупка </w:t>
    </w:r>
    <w:r>
      <w:rPr>
        <w:i/>
        <w:sz w:val="20"/>
      </w:rPr>
      <w:t>189001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</w:num>
  <w:num w:numId="10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04bca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Style14"/>
    <w:qFormat/>
    <w:pPr/>
    <w:rPr/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>
    <w:name w:val="Текст сноски Знак"/>
    <w:qFormat/>
    <w:rPr>
      <w:color w:val="000000"/>
      <w:sz w:val="20"/>
    </w:rPr>
  </w:style>
  <w:style w:type="character" w:styleId="Style11">
    <w:name w:val="Заголовок Знак"/>
    <w:qFormat/>
    <w:rPr>
      <w:b/>
      <w:smallCaps/>
      <w:color w:val="000000"/>
      <w:sz w:val="32"/>
    </w:rPr>
  </w:style>
  <w:style w:type="character" w:styleId="Style12">
    <w:name w:val="Основной текст с отступом Знак"/>
    <w:qFormat/>
    <w:rPr>
      <w:i/>
      <w:color w:val="000000"/>
    </w:rPr>
  </w:style>
  <w:style w:type="character" w:styleId="Style13">
    <w:name w:val="Пункт Знак"/>
    <w:qFormat/>
    <w:rPr>
      <w:sz w:val="28"/>
      <w:lang w:val="ru-RU" w:eastAsia="ru-RU" w:bidi="ar-SA"/>
    </w:rPr>
  </w:style>
  <w:style w:type="character" w:styleId="21">
    <w:name w:val="Заголовок 2 Знак"/>
    <w:qFormat/>
    <w:rPr>
      <w:b/>
      <w:color w:val="000000"/>
      <w:sz w:val="32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7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8" w:customStyle="1">
    <w:name w:val="Содержимое таблицы"/>
    <w:basedOn w:val="Normal"/>
    <w:qFormat/>
    <w:rsid w:val="00981538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Default" w:customStyle="1">
    <w:name w:val="Default"/>
    <w:qFormat/>
    <w:rsid w:val="0054239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9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12">
    <w:name w:val="Основной текст 21"/>
    <w:basedOn w:val="Normal"/>
    <w:qFormat/>
    <w:pPr>
      <w:spacing w:lineRule="exact" w:line="240"/>
      <w:ind w:firstLine="567"/>
    </w:pPr>
    <w:rPr>
      <w:sz w:val="24"/>
    </w:rPr>
  </w:style>
  <w:style w:type="paragraph" w:styleId="-2">
    <w:name w:val="Пункт-2"/>
    <w:qFormat/>
    <w:pPr>
      <w:keepNext w:val="true"/>
      <w:widowControl/>
      <w:tabs>
        <w:tab w:val="clear" w:pos="708"/>
        <w:tab w:val="left" w:pos="360" w:leader="none"/>
        <w:tab w:val="left" w:pos="1134" w:leader="none"/>
      </w:tabs>
      <w:suppressAutoHyphens w:val="true"/>
      <w:bidi w:val="0"/>
      <w:spacing w:before="0" w:after="0"/>
      <w:ind w:left="1134" w:hanging="1134"/>
      <w:jc w:val="left"/>
    </w:pPr>
    <w:rPr>
      <w:rFonts w:ascii="Calibri" w:hAnsi="Calibri" w:eastAsia="Calibri" w:cs="" w:asciiTheme="minorHAnsi" w:cstheme="minorBidi" w:eastAsiaTheme="minorHAnsi" w:hAnsiTheme="minorHAnsi"/>
      <w:b/>
      <w:color w:val="auto"/>
      <w:kern w:val="0"/>
      <w:sz w:val="22"/>
      <w:szCs w:val="22"/>
      <w:lang w:val="ru-RU" w:eastAsia="en-US" w:bidi="ar-SA"/>
    </w:rPr>
  </w:style>
  <w:style w:type="paragraph" w:styleId="Style20">
    <w:name w:val="Пункт"/>
    <w:basedOn w:val="Normal"/>
    <w:qFormat/>
    <w:pPr>
      <w:tabs>
        <w:tab w:val="clear" w:pos="708"/>
        <w:tab w:val="left" w:pos="360" w:leader="none"/>
      </w:tabs>
      <w:ind w:firstLine="567"/>
    </w:pPr>
    <w:rPr/>
  </w:style>
  <w:style w:type="paragraph" w:styleId="Indexheading">
    <w:name w:val="index heading"/>
    <w:basedOn w:val="Normal"/>
    <w:qFormat/>
    <w:pPr>
      <w:ind w:firstLine="567"/>
    </w:pPr>
    <w:rPr>
      <w:rFonts w:cs="Lohit Devanagari"/>
    </w:rPr>
  </w:style>
  <w:style w:type="paragraph" w:styleId="Caption1">
    <w:name w:val="caption1"/>
    <w:basedOn w:val="Normal"/>
    <w:qFormat/>
    <w:pPr>
      <w:spacing w:before="120" w:after="120"/>
      <w:ind w:firstLine="567"/>
    </w:pPr>
    <w:rPr>
      <w:rFonts w:cs="Lohit Devanagari"/>
      <w:i/>
      <w:iCs/>
      <w:sz w:val="24"/>
      <w:szCs w:val="24"/>
    </w:rPr>
  </w:style>
  <w:style w:type="paragraph" w:styleId="Style21">
    <w:name w:val="Обычный+ без отступа"/>
    <w:basedOn w:val="Normal"/>
    <w:qFormat/>
    <w:pPr>
      <w:spacing w:before="120" w:after="0"/>
      <w:ind w:hanging="0"/>
    </w:pPr>
    <w:rPr>
      <w:rFonts w:eastAsia="MS Mincho"/>
      <w:szCs w:val="28"/>
    </w:rPr>
  </w:style>
  <w:style w:type="paragraph" w:styleId="CaptionFirstLine">
    <w:name w:val="captionFirstLine"/>
    <w:qFormat/>
    <w:pPr>
      <w:widowControl w:val="false"/>
      <w:suppressAutoHyphens w:val="true"/>
      <w:bidi w:val="0"/>
      <w:spacing w:lineRule="exact" w:line="240" w:before="0" w:after="0"/>
      <w:ind w:hanging="0"/>
      <w:jc w:val="center"/>
    </w:pPr>
    <w:rPr>
      <w:rFonts w:ascii="Calibri" w:hAnsi="Calibri" w:eastAsia="Lucida Sans Unicode" w:cs="Tahoma" w:asciiTheme="minorHAnsi" w:hAnsiTheme="minorHAnsi"/>
      <w:color w:val="auto"/>
      <w:kern w:val="2"/>
      <w:sz w:val="24"/>
      <w:szCs w:val="24"/>
      <w:lang w:val="ru-RU" w:eastAsia="en-US" w:bidi="ru-RU"/>
    </w:rPr>
  </w:style>
  <w:style w:type="paragraph" w:styleId="Pagebreaker">
    <w:name w:val="pagebreaker"/>
    <w:qFormat/>
    <w:pPr>
      <w:keepNext w:val="true"/>
      <w:widowControl w:val="false"/>
      <w:suppressAutoHyphens w:val="true"/>
      <w:bidi w:val="0"/>
      <w:spacing w:lineRule="exact" w:line="240" w:before="0" w:after="0"/>
      <w:ind w:hanging="0"/>
      <w:jc w:val="left"/>
    </w:pPr>
    <w:rPr>
      <w:rFonts w:ascii="Calibri" w:hAnsi="Calibri" w:eastAsia="Lucida Sans Unicode" w:cs="Tahoma" w:asciiTheme="minorHAnsi" w:hAnsiTheme="minorHAnsi"/>
      <w:color w:val="auto"/>
      <w:kern w:val="2"/>
      <w:sz w:val="24"/>
      <w:szCs w:val="24"/>
      <w:lang w:val="ru-RU" w:eastAsia="en-US" w:bidi="ru-RU"/>
    </w:rPr>
  </w:style>
  <w:style w:type="paragraph" w:styleId="Centered">
    <w:name w:val="centered"/>
    <w:qFormat/>
    <w:pPr>
      <w:widowControl w:val="false"/>
      <w:suppressAutoHyphens w:val="true"/>
      <w:bidi w:val="0"/>
      <w:spacing w:lineRule="exact" w:line="240" w:before="0" w:after="0"/>
      <w:ind w:hanging="0"/>
      <w:jc w:val="center"/>
    </w:pPr>
    <w:rPr>
      <w:rFonts w:ascii="Calibri" w:hAnsi="Calibri" w:eastAsia="Lucida Sans Unicode" w:cs="Tahoma" w:asciiTheme="minorHAnsi" w:hAnsiTheme="minorHAnsi"/>
      <w:color w:val="auto"/>
      <w:kern w:val="2"/>
      <w:sz w:val="24"/>
      <w:szCs w:val="24"/>
      <w:lang w:val="ru-RU" w:eastAsia="en-US" w:bidi="ru-RU"/>
    </w:rPr>
  </w:style>
  <w:style w:type="paragraph" w:styleId="Variable">
    <w:name w:val="variable"/>
    <w:qFormat/>
    <w:pPr>
      <w:widowControl w:val="false"/>
      <w:suppressAutoHyphens w:val="true"/>
      <w:bidi w:val="0"/>
      <w:spacing w:lineRule="exact" w:line="240" w:before="0" w:after="0"/>
      <w:ind w:hanging="0"/>
      <w:jc w:val="left"/>
    </w:pPr>
    <w:rPr>
      <w:rFonts w:ascii="Calibri" w:hAnsi="Calibri" w:eastAsia="Lucida Sans Unicode" w:cs="Tahoma" w:asciiTheme="minorHAnsi" w:hAnsiTheme="minorHAnsi"/>
      <w:b/>
      <w:color w:val="auto"/>
      <w:kern w:val="2"/>
      <w:sz w:val="24"/>
      <w:szCs w:val="24"/>
      <w:lang w:val="ru-RU" w:eastAsia="en-US" w:bidi="ru-RU"/>
    </w:rPr>
  </w:style>
  <w:style w:type="paragraph" w:styleId="PrintSubChapter">
    <w:name w:val="printSubChapter"/>
    <w:basedOn w:val="Heading3"/>
    <w:qFormat/>
    <w:pPr>
      <w:keepNext w:val="true"/>
      <w:spacing w:before="240" w:after="60"/>
      <w:ind w:hanging="0"/>
    </w:pPr>
    <w:rPr>
      <w:rFonts w:ascii="Cambria" w:hAnsi="Cambria" w:eastAsia="0" w:cs="0"/>
      <w:b/>
      <w:bCs/>
      <w:sz w:val="26"/>
      <w:szCs w:val="26"/>
    </w:rPr>
  </w:style>
  <w:style w:type="paragraph" w:styleId="PrintChapter">
    <w:name w:val="printChapter"/>
    <w:basedOn w:val="Heading2"/>
    <w:qFormat/>
    <w:pPr>
      <w:keepNext w:val="true"/>
      <w:spacing w:lineRule="exact" w:line="240" w:before="360" w:after="120"/>
      <w:ind w:hanging="0"/>
      <w:jc w:val="left"/>
    </w:pPr>
    <w:rPr>
      <w:b/>
      <w:sz w:val="32"/>
    </w:rPr>
  </w:style>
  <w:style w:type="paragraph" w:styleId="Print">
    <w:name w:val="print"/>
    <w:basedOn w:val="Heading1"/>
    <w:qFormat/>
    <w:pPr>
      <w:keepNext w:val="true"/>
      <w:keepLines/>
      <w:spacing w:lineRule="exact" w:line="240" w:before="480" w:after="240"/>
      <w:ind w:hanging="0"/>
      <w:jc w:val="left"/>
    </w:pPr>
    <w:rPr>
      <w:rFonts w:ascii="Arial" w:hAnsi="Arial"/>
      <w:b/>
      <w:kern w:val="2"/>
      <w:sz w:val="40"/>
    </w:rPr>
  </w:style>
  <w:style w:type="paragraph" w:styleId="Messagesubcaption">
    <w:name w:val="messagesubcaption"/>
    <w:qFormat/>
    <w:pPr>
      <w:widowControl w:val="false"/>
      <w:suppressAutoHyphens w:val="true"/>
      <w:bidi w:val="0"/>
      <w:spacing w:lineRule="exact" w:line="240" w:before="0" w:after="0"/>
      <w:ind w:hanging="0"/>
      <w:jc w:val="center"/>
    </w:pPr>
    <w:rPr>
      <w:rFonts w:ascii="Calibri" w:hAnsi="Calibri" w:eastAsia="Lucida Sans Unicode" w:cs="Tahoma" w:asciiTheme="minorHAnsi" w:hAnsiTheme="minorHAnsi"/>
      <w:b w:val="false"/>
      <w:caps w:val="false"/>
      <w:smallCaps w:val="false"/>
      <w:color w:val="auto"/>
      <w:kern w:val="2"/>
      <w:sz w:val="24"/>
      <w:szCs w:val="24"/>
      <w:lang w:val="ru-RU" w:eastAsia="en-US" w:bidi="ru-RU"/>
    </w:rPr>
  </w:style>
  <w:style w:type="paragraph" w:styleId="Messagecaption">
    <w:name w:val="messagecaption"/>
    <w:qFormat/>
    <w:pPr>
      <w:widowControl w:val="false"/>
      <w:suppressAutoHyphens w:val="true"/>
      <w:bidi w:val="0"/>
      <w:spacing w:lineRule="atLeast" w:line="0" w:before="0" w:after="0"/>
      <w:ind w:hanging="0"/>
      <w:jc w:val="center"/>
    </w:pPr>
    <w:rPr>
      <w:rFonts w:ascii="Calibri" w:hAnsi="Calibri" w:eastAsia="Lucida Sans Unicode" w:cs="Tahoma" w:asciiTheme="minorHAnsi" w:hAnsiTheme="minorHAnsi"/>
      <w:b/>
      <w:caps/>
      <w:color w:val="auto"/>
      <w:kern w:val="2"/>
      <w:sz w:val="24"/>
      <w:szCs w:val="24"/>
      <w:lang w:val="ru-RU" w:eastAsia="en-US" w:bidi="ru-RU"/>
    </w:rPr>
  </w:style>
  <w:style w:type="paragraph" w:styleId="Layout2">
    <w:name w:val="layout2"/>
    <w:basedOn w:val="Heading3"/>
    <w:qFormat/>
    <w:pPr>
      <w:keepNext w:val="true"/>
      <w:spacing w:before="240" w:after="60"/>
      <w:ind w:hanging="0"/>
    </w:pPr>
    <w:rPr>
      <w:rFonts w:ascii="Cambria" w:hAnsi="Cambria" w:eastAsia="0" w:cs="0"/>
      <w:b/>
      <w:bCs/>
      <w:sz w:val="26"/>
      <w:szCs w:val="26"/>
    </w:rPr>
  </w:style>
  <w:style w:type="paragraph" w:styleId="Layout1">
    <w:name w:val="layout1"/>
    <w:basedOn w:val="Heading2"/>
    <w:qFormat/>
    <w:pPr>
      <w:keepNext w:val="true"/>
      <w:spacing w:lineRule="exact" w:line="240" w:before="360" w:after="120"/>
      <w:ind w:hanging="0"/>
      <w:jc w:val="left"/>
    </w:pPr>
    <w:rPr>
      <w:b/>
      <w:sz w:val="32"/>
    </w:rPr>
  </w:style>
  <w:style w:type="paragraph" w:styleId="Layout0">
    <w:name w:val="layout0"/>
    <w:basedOn w:val="Heading1"/>
    <w:qFormat/>
    <w:pPr>
      <w:keepNext w:val="true"/>
      <w:keepLines/>
      <w:spacing w:lineRule="exact" w:line="240" w:before="480" w:after="240"/>
      <w:ind w:hanging="0"/>
      <w:jc w:val="left"/>
    </w:pPr>
    <w:rPr>
      <w:rFonts w:ascii="Arial" w:hAnsi="Arial"/>
      <w:b/>
      <w:kern w:val="2"/>
      <w:sz w:val="32"/>
    </w:rPr>
  </w:style>
  <w:style w:type="paragraph" w:styleId="Text1">
    <w:name w:val="text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ahoma"/>
      <w:color w:val="auto"/>
      <w:kern w:val="2"/>
      <w:sz w:val="24"/>
      <w:szCs w:val="24"/>
      <w:lang w:val="ru-RU" w:eastAsia="ru-RU" w:bidi="ru-RU"/>
    </w:rPr>
  </w:style>
  <w:style w:type="paragraph" w:styleId="Publication">
    <w:name w:val="publication"/>
    <w:basedOn w:val="Normal"/>
    <w:qFormat/>
    <w:pPr>
      <w:spacing w:lineRule="exact" w:line="240"/>
      <w:ind w:firstLine="567"/>
    </w:pPr>
    <w:rPr>
      <w:rFonts w:ascii="Arial" w:hAnsi="Arial" w:cs="Arial"/>
      <w:b w:val="false"/>
      <w:color w:val="FFFFFF"/>
      <w:sz w:val="22"/>
      <w:shd w:fill="000000" w:val="clear"/>
    </w:rPr>
  </w:style>
  <w:style w:type="paragraph" w:styleId="Caption11">
    <w:name w:val="Caption11"/>
    <w:basedOn w:val="Normal"/>
    <w:qFormat/>
    <w:pPr>
      <w:spacing w:before="120" w:after="120"/>
      <w:ind w:firstLine="567"/>
    </w:pPr>
    <w:rPr>
      <w:rFonts w:cs="Tahoma"/>
      <w:i/>
      <w:iCs/>
      <w:sz w:val="20"/>
      <w:szCs w:val="24"/>
    </w:rPr>
  </w:style>
  <w:style w:type="paragraph" w:styleId="FirstLineIndent">
    <w:name w:val="First Line Indent"/>
    <w:qFormat/>
    <w:pPr>
      <w:widowControl w:val="false"/>
      <w:tabs>
        <w:tab w:val="clear" w:pos="708"/>
        <w:tab w:val="right" w:pos="9360" w:leader="none"/>
      </w:tabs>
      <w:suppressAutoHyphens w:val="true"/>
      <w:bidi w:val="0"/>
      <w:spacing w:lineRule="exact" w:line="240" w:before="0" w:after="0"/>
      <w:ind w:firstLine="283"/>
      <w:jc w:val="left"/>
    </w:pPr>
    <w:rPr>
      <w:rFonts w:ascii="Calibri" w:hAnsi="Calibri" w:eastAsia="Calibri" w:cs="0"/>
      <w:color w:val="auto"/>
      <w:kern w:val="0"/>
      <w:sz w:val="22"/>
      <w:szCs w:val="24"/>
      <w:lang w:val="ru-RU" w:eastAsia="en-US" w:bidi="ar-SA"/>
    </w:rPr>
  </w:style>
  <w:style w:type="paragraph" w:styleId="Caption111">
    <w:name w:val="caption111"/>
    <w:basedOn w:val="Normal"/>
    <w:qFormat/>
    <w:pPr>
      <w:spacing w:before="120" w:after="120"/>
      <w:ind w:firstLine="567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92F8-61E6-430B-8F5B-4F1FBDEB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AlterOffice/3.3.1.3$Linux_X86_64 LibreOffice_project/90d829a0d92d6015ad4fa014ce4f460a7fe6c0ba</Application>
  <AppVersion>15.0000</AppVersion>
  <Pages>2</Pages>
  <Words>328</Words>
  <Characters>2182</Characters>
  <CharactersWithSpaces>2653</CharactersWithSpaces>
  <Paragraphs>66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tsyganchuk_ov</cp:lastModifiedBy>
  <cp:lastPrinted>2020-09-29T05:36:00Z</cp:lastPrinted>
  <dcterms:modified xsi:type="dcterms:W3CDTF">2025-04-16T10:40:52Z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